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562D" w14:textId="3FA8ECAB" w:rsidR="0016711C" w:rsidRDefault="0016711C" w:rsidP="0016711C">
      <w:pPr>
        <w:spacing w:after="0"/>
        <w:jc w:val="center"/>
        <w:rPr>
          <w:b/>
          <w:sz w:val="24"/>
          <w:szCs w:val="24"/>
        </w:rPr>
      </w:pPr>
      <w:r w:rsidRPr="00E26156">
        <w:rPr>
          <w:b/>
          <w:sz w:val="24"/>
          <w:szCs w:val="24"/>
        </w:rPr>
        <w:t xml:space="preserve">5E </w:t>
      </w:r>
      <w:r w:rsidR="001C212D">
        <w:rPr>
          <w:b/>
          <w:sz w:val="24"/>
          <w:szCs w:val="24"/>
        </w:rPr>
        <w:t>–</w:t>
      </w:r>
      <w:r w:rsidRPr="00E26156">
        <w:rPr>
          <w:b/>
          <w:sz w:val="24"/>
          <w:szCs w:val="24"/>
        </w:rPr>
        <w:t xml:space="preserve"> </w:t>
      </w:r>
      <w:r w:rsidR="001C212D">
        <w:rPr>
          <w:b/>
          <w:sz w:val="24"/>
          <w:szCs w:val="24"/>
        </w:rPr>
        <w:t>Sorgulamaya Dayalı Öğrenme Modeli</w:t>
      </w:r>
    </w:p>
    <w:p w14:paraId="4E8C2CE5" w14:textId="77777777" w:rsidR="005C67FA" w:rsidRPr="00E26156" w:rsidRDefault="005C67FA" w:rsidP="0016711C">
      <w:pPr>
        <w:spacing w:after="0"/>
        <w:jc w:val="center"/>
        <w:rPr>
          <w:b/>
          <w:sz w:val="24"/>
          <w:szCs w:val="24"/>
        </w:rPr>
      </w:pPr>
    </w:p>
    <w:p w14:paraId="42934F2D" w14:textId="69C15788" w:rsidR="00AD6B2C" w:rsidRPr="004A0CEB" w:rsidRDefault="00DE4FA5" w:rsidP="00A240B8">
      <w:pPr>
        <w:rPr>
          <w:rFonts w:ascii="Times New Roman" w:eastAsia="Times New Roman" w:hAnsi="Times New Roman" w:cs="Times New Roman"/>
          <w:color w:val="FF0000"/>
          <w:sz w:val="24"/>
          <w:szCs w:val="24"/>
          <w:lang w:eastAsia="tr-TR"/>
        </w:rPr>
      </w:pPr>
      <w:r w:rsidRPr="004A0CEB">
        <w:rPr>
          <w:b/>
          <w:bCs/>
          <w:color w:val="FF0000"/>
        </w:rPr>
        <w:t>Ana Tema</w:t>
      </w:r>
      <w:r w:rsidRPr="004A0CEB">
        <w:rPr>
          <w:color w:val="FF0000"/>
        </w:rPr>
        <w:t xml:space="preserve">: </w:t>
      </w:r>
      <w:r w:rsidR="00A240B8" w:rsidRPr="004A0CEB">
        <w:rPr>
          <w:rFonts w:ascii="Arial" w:eastAsia="Times New Roman" w:hAnsi="Arial" w:cs="Arial"/>
          <w:color w:val="FF0000"/>
          <w:sz w:val="24"/>
          <w:szCs w:val="24"/>
          <w:shd w:val="clear" w:color="auto" w:fill="FFFFFF"/>
          <w:lang w:eastAsia="tr-TR"/>
        </w:rPr>
        <w:t xml:space="preserve">Temiz </w:t>
      </w:r>
      <w:r w:rsidR="0094456F" w:rsidRPr="004A0CEB">
        <w:rPr>
          <w:rFonts w:ascii="Arial" w:eastAsia="Times New Roman" w:hAnsi="Arial" w:cs="Arial"/>
          <w:color w:val="FF0000"/>
          <w:sz w:val="24"/>
          <w:szCs w:val="24"/>
          <w:shd w:val="clear" w:color="auto" w:fill="FFFFFF"/>
          <w:lang w:eastAsia="tr-TR"/>
        </w:rPr>
        <w:t>S</w:t>
      </w:r>
      <w:r w:rsidR="00A240B8" w:rsidRPr="004A0CEB">
        <w:rPr>
          <w:rFonts w:ascii="Arial" w:eastAsia="Times New Roman" w:hAnsi="Arial" w:cs="Arial"/>
          <w:color w:val="FF0000"/>
          <w:sz w:val="24"/>
          <w:szCs w:val="24"/>
          <w:shd w:val="clear" w:color="auto" w:fill="FFFFFF"/>
          <w:lang w:eastAsia="tr-TR"/>
        </w:rPr>
        <w:t xml:space="preserve">u ve </w:t>
      </w:r>
      <w:proofErr w:type="gramStart"/>
      <w:r w:rsidR="00A240B8" w:rsidRPr="004A0CEB">
        <w:rPr>
          <w:rFonts w:ascii="Arial" w:eastAsia="Times New Roman" w:hAnsi="Arial" w:cs="Arial"/>
          <w:color w:val="FF0000"/>
          <w:sz w:val="24"/>
          <w:szCs w:val="24"/>
          <w:shd w:val="clear" w:color="auto" w:fill="FFFFFF"/>
          <w:lang w:eastAsia="tr-TR"/>
        </w:rPr>
        <w:t>Sanitasyon</w:t>
      </w:r>
      <w:r w:rsidR="003C2FC4">
        <w:rPr>
          <w:rFonts w:ascii="Arial" w:eastAsia="Times New Roman" w:hAnsi="Arial" w:cs="Arial"/>
          <w:color w:val="FF0000"/>
          <w:sz w:val="24"/>
          <w:szCs w:val="24"/>
          <w:shd w:val="clear" w:color="auto" w:fill="FFFFFF"/>
          <w:lang w:eastAsia="tr-TR"/>
        </w:rPr>
        <w:t xml:space="preserve"> -</w:t>
      </w:r>
      <w:proofErr w:type="gramEnd"/>
      <w:r w:rsidR="003C2FC4">
        <w:rPr>
          <w:rFonts w:ascii="Arial" w:eastAsia="Times New Roman" w:hAnsi="Arial" w:cs="Arial"/>
          <w:color w:val="FF0000"/>
          <w:sz w:val="24"/>
          <w:szCs w:val="24"/>
          <w:shd w:val="clear" w:color="auto" w:fill="FFFFFF"/>
          <w:lang w:eastAsia="tr-TR"/>
        </w:rPr>
        <w:t xml:space="preserve"> </w:t>
      </w:r>
      <w:r w:rsidR="003C2FC4" w:rsidRPr="003C2FC4">
        <w:rPr>
          <w:rFonts w:ascii="Arial" w:eastAsia="Times New Roman" w:hAnsi="Arial" w:cs="Arial"/>
          <w:color w:val="FF0000"/>
          <w:sz w:val="24"/>
          <w:szCs w:val="24"/>
          <w:shd w:val="clear" w:color="auto" w:fill="FFFFFF"/>
          <w:lang w:eastAsia="tr-TR"/>
        </w:rPr>
        <w:t>Sağlıklı ve Kaliteli Yaşam</w:t>
      </w:r>
    </w:p>
    <w:p w14:paraId="6D624AB3" w14:textId="77777777" w:rsidR="00203FEA" w:rsidRDefault="00203FEA" w:rsidP="00855F82">
      <w:pPr>
        <w:spacing w:after="0"/>
      </w:pPr>
    </w:p>
    <w:tbl>
      <w:tblPr>
        <w:tblStyle w:val="TabloKlavuzu"/>
        <w:tblW w:w="0" w:type="auto"/>
        <w:tblLook w:val="04A0" w:firstRow="1" w:lastRow="0" w:firstColumn="1" w:lastColumn="0" w:noHBand="0" w:noVBand="1"/>
      </w:tblPr>
      <w:tblGrid>
        <w:gridCol w:w="1837"/>
        <w:gridCol w:w="2773"/>
        <w:gridCol w:w="9384"/>
      </w:tblGrid>
      <w:tr w:rsidR="00723E41" w14:paraId="670A6F4D" w14:textId="77777777" w:rsidTr="00845B7C">
        <w:tc>
          <w:tcPr>
            <w:tcW w:w="1597" w:type="dxa"/>
            <w:vAlign w:val="center"/>
          </w:tcPr>
          <w:p w14:paraId="285158AD" w14:textId="79D1CEFA" w:rsidR="00723E41" w:rsidRPr="00855F82" w:rsidRDefault="00BD5E12" w:rsidP="00723E41">
            <w:pPr>
              <w:rPr>
                <w:b/>
              </w:rPr>
            </w:pPr>
            <w:r>
              <w:rPr>
                <w:b/>
              </w:rPr>
              <w:t>Başlık</w:t>
            </w:r>
          </w:p>
        </w:tc>
        <w:tc>
          <w:tcPr>
            <w:tcW w:w="4919" w:type="dxa"/>
          </w:tcPr>
          <w:p w14:paraId="53C3AAD4" w14:textId="77777777" w:rsidR="00723E41" w:rsidRPr="00046CD0" w:rsidRDefault="00723E41" w:rsidP="00723E41"/>
        </w:tc>
        <w:tc>
          <w:tcPr>
            <w:tcW w:w="6804" w:type="dxa"/>
          </w:tcPr>
          <w:p w14:paraId="2CB99809" w14:textId="77AD94D9" w:rsidR="00CF6919" w:rsidRPr="000F423C" w:rsidRDefault="00CF6919" w:rsidP="00AC564F">
            <w:r>
              <w:t>SUYUN KALİTESİ</w:t>
            </w:r>
          </w:p>
        </w:tc>
      </w:tr>
      <w:tr w:rsidR="00723E41" w14:paraId="759D2138" w14:textId="77777777" w:rsidTr="00845B7C">
        <w:tc>
          <w:tcPr>
            <w:tcW w:w="1597" w:type="dxa"/>
            <w:vAlign w:val="center"/>
          </w:tcPr>
          <w:p w14:paraId="165CDB9B" w14:textId="25D6710E" w:rsidR="00723E41" w:rsidRPr="00855F82" w:rsidRDefault="00336EC5" w:rsidP="00723E41">
            <w:pPr>
              <w:rPr>
                <w:b/>
              </w:rPr>
            </w:pPr>
            <w:r>
              <w:rPr>
                <w:b/>
              </w:rPr>
              <w:t xml:space="preserve">Sınıf </w:t>
            </w:r>
            <w:r w:rsidR="00BD5E12">
              <w:rPr>
                <w:b/>
              </w:rPr>
              <w:t xml:space="preserve">/ Yaş </w:t>
            </w:r>
            <w:r>
              <w:rPr>
                <w:b/>
              </w:rPr>
              <w:t>seviyesi</w:t>
            </w:r>
            <w:r w:rsidR="00723E41" w:rsidRPr="00046CD0">
              <w:rPr>
                <w:b/>
              </w:rPr>
              <w:t xml:space="preserve"> </w:t>
            </w:r>
          </w:p>
        </w:tc>
        <w:tc>
          <w:tcPr>
            <w:tcW w:w="4919" w:type="dxa"/>
          </w:tcPr>
          <w:p w14:paraId="03617BBD" w14:textId="77777777" w:rsidR="00723E41" w:rsidRPr="00046CD0" w:rsidRDefault="00723E41" w:rsidP="00723E41"/>
        </w:tc>
        <w:tc>
          <w:tcPr>
            <w:tcW w:w="6804" w:type="dxa"/>
          </w:tcPr>
          <w:p w14:paraId="4DD4BE80" w14:textId="0EECCE39" w:rsidR="00723E41" w:rsidRPr="000F423C" w:rsidRDefault="000534DB" w:rsidP="006958BE">
            <w:r>
              <w:t>5-</w:t>
            </w:r>
            <w:r w:rsidR="00AC564F" w:rsidRPr="00AC564F">
              <w:t>8/1</w:t>
            </w:r>
            <w:r w:rsidR="001D59BC">
              <w:t>0</w:t>
            </w:r>
            <w:r w:rsidR="00AC564F" w:rsidRPr="00AC564F">
              <w:t>-14 y</w:t>
            </w:r>
            <w:r w:rsidR="006958BE">
              <w:t>aş</w:t>
            </w:r>
          </w:p>
        </w:tc>
      </w:tr>
      <w:tr w:rsidR="00746DA5" w14:paraId="5792D97E" w14:textId="77777777" w:rsidTr="00845B7C">
        <w:tc>
          <w:tcPr>
            <w:tcW w:w="1597" w:type="dxa"/>
            <w:vAlign w:val="center"/>
          </w:tcPr>
          <w:p w14:paraId="281050B0" w14:textId="7103E850" w:rsidR="00746DA5" w:rsidRPr="00046CD0" w:rsidRDefault="00336EC5" w:rsidP="00723E41">
            <w:pPr>
              <w:rPr>
                <w:b/>
              </w:rPr>
            </w:pPr>
            <w:r>
              <w:rPr>
                <w:b/>
              </w:rPr>
              <w:t>İçerik standar</w:t>
            </w:r>
            <w:r w:rsidR="00BD5E12">
              <w:rPr>
                <w:b/>
              </w:rPr>
              <w:t>tları</w:t>
            </w:r>
          </w:p>
        </w:tc>
        <w:tc>
          <w:tcPr>
            <w:tcW w:w="4919" w:type="dxa"/>
          </w:tcPr>
          <w:p w14:paraId="14F446C8" w14:textId="77777777" w:rsidR="00746DA5" w:rsidRPr="00046CD0" w:rsidRDefault="00746DA5" w:rsidP="00723E41"/>
        </w:tc>
        <w:tc>
          <w:tcPr>
            <w:tcW w:w="6804" w:type="dxa"/>
          </w:tcPr>
          <w:p w14:paraId="566B443E" w14:textId="09BD48DE" w:rsidR="00746DA5" w:rsidRDefault="00DA70F4" w:rsidP="00723E41">
            <w:r>
              <w:t xml:space="preserve">T.C. </w:t>
            </w:r>
            <w:proofErr w:type="gramStart"/>
            <w:r w:rsidR="00B276A9">
              <w:t>Milli</w:t>
            </w:r>
            <w:proofErr w:type="gramEnd"/>
            <w:r w:rsidR="00B276A9">
              <w:t xml:space="preserve"> Eğitim Bakanlığı Fen Bilimleri Eğitimi Müfredatı</w:t>
            </w:r>
            <w:r w:rsidR="00254415">
              <w:t>:</w:t>
            </w:r>
          </w:p>
          <w:p w14:paraId="6B03AA28" w14:textId="77777777" w:rsidR="00254415" w:rsidRPr="009155A7" w:rsidRDefault="000534DB" w:rsidP="00254415">
            <w:pPr>
              <w:rPr>
                <w:rFonts w:eastAsia="Calibri" w:cstheme="minorHAnsi"/>
              </w:rPr>
            </w:pPr>
            <w:hyperlink r:id="rId5" w:history="1">
              <w:r w:rsidR="00254415" w:rsidRPr="009155A7">
                <w:rPr>
                  <w:rStyle w:val="Kpr"/>
                  <w:rFonts w:eastAsia="Calibri" w:cstheme="minorHAnsi"/>
                </w:rPr>
                <w:t>https://mufredat.meb.gov.tr/Dosyalar/201812312311937-FEN%20B%C4%B0L%C4%B0MLER%C4%B0%20%C3%96%C4%9ERET%C4%B0M%20PROGRAMI2018.pdf</w:t>
              </w:r>
            </w:hyperlink>
            <w:r w:rsidR="00254415" w:rsidRPr="009155A7">
              <w:rPr>
                <w:rFonts w:eastAsia="Calibri" w:cstheme="minorHAnsi"/>
              </w:rPr>
              <w:t xml:space="preserve"> </w:t>
            </w:r>
          </w:p>
          <w:p w14:paraId="3DA12B37" w14:textId="77777777" w:rsidR="00254415" w:rsidRDefault="00254415" w:rsidP="00723E41"/>
          <w:p w14:paraId="6C25DAFC" w14:textId="77777777" w:rsidR="003774B9" w:rsidRPr="000F423C" w:rsidRDefault="003774B9" w:rsidP="003774B9">
            <w:r w:rsidRPr="000F423C">
              <w:t>İnsan ve Çevre/Canlılar ve Yaşam</w:t>
            </w:r>
          </w:p>
          <w:p w14:paraId="0E59E03B" w14:textId="77777777" w:rsidR="003774B9" w:rsidRDefault="003774B9" w:rsidP="003774B9">
            <w:r w:rsidRPr="000F423C">
              <w:t>İnsan ve Çevre İlişkisi</w:t>
            </w:r>
          </w:p>
          <w:p w14:paraId="28FBF9AC" w14:textId="2D147F47" w:rsidR="004F5F73" w:rsidRDefault="004F5F73" w:rsidP="004F5F73">
            <w:r>
              <w:t>Madde Döngüleri ve Çevresel Konular</w:t>
            </w:r>
          </w:p>
          <w:p w14:paraId="7A4C2E22" w14:textId="3654A532" w:rsidR="004F5F73" w:rsidRPr="000F423C" w:rsidRDefault="004F5F73" w:rsidP="004F5F73">
            <w:r>
              <w:t>Sürdürülebilir Kalkınma</w:t>
            </w:r>
            <w:r w:rsidR="00860DDF">
              <w:t xml:space="preserve"> Hedefleri</w:t>
            </w:r>
            <w:r w:rsidR="00254415">
              <w:t xml:space="preserve">: </w:t>
            </w:r>
            <w:hyperlink r:id="rId6" w:history="1">
              <w:r w:rsidR="00254415" w:rsidRPr="0083438D">
                <w:rPr>
                  <w:rStyle w:val="Kpr"/>
                </w:rPr>
                <w:t>https://www.kureselamaclar.org/</w:t>
              </w:r>
            </w:hyperlink>
            <w:r w:rsidR="00254415">
              <w:t xml:space="preserve"> </w:t>
            </w:r>
          </w:p>
        </w:tc>
      </w:tr>
      <w:tr w:rsidR="00723E41" w14:paraId="2D52DA03" w14:textId="77777777" w:rsidTr="00845B7C">
        <w:tc>
          <w:tcPr>
            <w:tcW w:w="1597" w:type="dxa"/>
            <w:vAlign w:val="center"/>
          </w:tcPr>
          <w:p w14:paraId="37AE9C74" w14:textId="709E3452" w:rsidR="00723E41" w:rsidRPr="00046CD0" w:rsidRDefault="00336EC5" w:rsidP="00723E41">
            <w:pPr>
              <w:rPr>
                <w:b/>
              </w:rPr>
            </w:pPr>
            <w:r>
              <w:rPr>
                <w:b/>
              </w:rPr>
              <w:t>Öğrenme çıktıları</w:t>
            </w:r>
          </w:p>
        </w:tc>
        <w:tc>
          <w:tcPr>
            <w:tcW w:w="4919" w:type="dxa"/>
          </w:tcPr>
          <w:p w14:paraId="40B4D446" w14:textId="77777777" w:rsidR="00723E41" w:rsidRDefault="00723E41" w:rsidP="00723E41"/>
          <w:p w14:paraId="74405BDE" w14:textId="77777777" w:rsidR="00723E41" w:rsidRPr="00046CD0" w:rsidRDefault="00723E41" w:rsidP="00723E41"/>
        </w:tc>
        <w:tc>
          <w:tcPr>
            <w:tcW w:w="6804" w:type="dxa"/>
          </w:tcPr>
          <w:p w14:paraId="24655D40" w14:textId="77777777" w:rsidR="00BA0149" w:rsidRDefault="00BA0149" w:rsidP="00BA0149">
            <w:r>
              <w:t>Öğrenciler;</w:t>
            </w:r>
          </w:p>
          <w:p w14:paraId="5FB71692" w14:textId="77777777" w:rsidR="00BA0149" w:rsidRDefault="00BA0149" w:rsidP="00BA0149">
            <w:r>
              <w:t>• Temiz su ve kirli suyun insan sağlığına etkilerini bilir.</w:t>
            </w:r>
          </w:p>
          <w:p w14:paraId="0DE9D355" w14:textId="77777777" w:rsidR="00BA0149" w:rsidRDefault="00BA0149" w:rsidP="00BA0149">
            <w:r>
              <w:t xml:space="preserve">• Bulanıklık </w:t>
            </w:r>
            <w:proofErr w:type="spellStart"/>
            <w:r>
              <w:t>sensörü</w:t>
            </w:r>
            <w:proofErr w:type="spellEnd"/>
            <w:r>
              <w:t xml:space="preserve"> ile suyun kalitesini tespit edip doğrular</w:t>
            </w:r>
          </w:p>
          <w:p w14:paraId="5E5D13C2" w14:textId="77777777" w:rsidR="00BA0149" w:rsidRDefault="00BA0149" w:rsidP="00BA0149">
            <w:r>
              <w:t xml:space="preserve">• Bulanıklığı ölçer ve sonuçları ürüne takılı modül ile </w:t>
            </w:r>
            <w:proofErr w:type="spellStart"/>
            <w:r>
              <w:t>Arduino</w:t>
            </w:r>
            <w:proofErr w:type="spellEnd"/>
            <w:r>
              <w:t xml:space="preserve"> kartına analog veya dijital sinyaller olarak gönderir.</w:t>
            </w:r>
          </w:p>
          <w:p w14:paraId="0980EE22" w14:textId="77777777" w:rsidR="00AF6F2A" w:rsidRDefault="00BA0149" w:rsidP="00AF6F2A">
            <w:r>
              <w:t>• Temiz suyun tüm insanlık ve dünya için önemini kavrar.</w:t>
            </w:r>
          </w:p>
          <w:p w14:paraId="46726328" w14:textId="6D1E26B4" w:rsidR="00DB454C" w:rsidRPr="006F2AE2" w:rsidRDefault="00AF6F2A" w:rsidP="00AF6F2A">
            <w:r>
              <w:t xml:space="preserve">• </w:t>
            </w:r>
            <w:r w:rsidR="00BA0149">
              <w:t>Su kaynaklarını bilinçli kullanır.</w:t>
            </w:r>
          </w:p>
        </w:tc>
      </w:tr>
      <w:tr w:rsidR="003774B9" w14:paraId="5E15D3A3" w14:textId="77777777" w:rsidTr="00845B7C">
        <w:tc>
          <w:tcPr>
            <w:tcW w:w="1597" w:type="dxa"/>
            <w:vAlign w:val="center"/>
          </w:tcPr>
          <w:p w14:paraId="11A4E205" w14:textId="55C963FA" w:rsidR="003774B9" w:rsidRDefault="003774B9" w:rsidP="00723E41">
            <w:pPr>
              <w:rPr>
                <w:b/>
              </w:rPr>
            </w:pPr>
            <w:r>
              <w:rPr>
                <w:b/>
              </w:rPr>
              <w:t>Anahtar Becerileri</w:t>
            </w:r>
          </w:p>
        </w:tc>
        <w:tc>
          <w:tcPr>
            <w:tcW w:w="4919" w:type="dxa"/>
          </w:tcPr>
          <w:p w14:paraId="7D7F9C80" w14:textId="77777777" w:rsidR="003774B9" w:rsidRDefault="003774B9" w:rsidP="00723E41"/>
        </w:tc>
        <w:tc>
          <w:tcPr>
            <w:tcW w:w="6804" w:type="dxa"/>
          </w:tcPr>
          <w:p w14:paraId="6D8C33E3" w14:textId="77777777" w:rsidR="003774B9" w:rsidRDefault="003774B9" w:rsidP="003774B9">
            <w:r>
              <w:t>• Problem çözme</w:t>
            </w:r>
          </w:p>
          <w:p w14:paraId="3FB52460" w14:textId="77777777" w:rsidR="003774B9" w:rsidRDefault="003774B9" w:rsidP="003774B9">
            <w:r>
              <w:t>• Analitik düşünme</w:t>
            </w:r>
          </w:p>
          <w:p w14:paraId="24DD3170" w14:textId="77777777" w:rsidR="003774B9" w:rsidRDefault="003774B9" w:rsidP="003774B9">
            <w:r>
              <w:t>• Yaratıcılık</w:t>
            </w:r>
          </w:p>
          <w:p w14:paraId="23A3CDAB" w14:textId="4D73287B" w:rsidR="003774B9" w:rsidRDefault="003774B9" w:rsidP="003774B9">
            <w:r>
              <w:t>• Dijital beceriler</w:t>
            </w:r>
          </w:p>
        </w:tc>
      </w:tr>
      <w:tr w:rsidR="00723E41" w14:paraId="22F64AA8" w14:textId="77777777" w:rsidTr="00845B7C">
        <w:tc>
          <w:tcPr>
            <w:tcW w:w="1597" w:type="dxa"/>
            <w:vAlign w:val="center"/>
          </w:tcPr>
          <w:p w14:paraId="5E826ED1" w14:textId="12368E3D" w:rsidR="00723E41" w:rsidRPr="00855F82" w:rsidRDefault="001A6688" w:rsidP="00723E41">
            <w:pPr>
              <w:rPr>
                <w:b/>
              </w:rPr>
            </w:pPr>
            <w:r>
              <w:rPr>
                <w:b/>
              </w:rPr>
              <w:t>Gerekli Zaman</w:t>
            </w:r>
          </w:p>
        </w:tc>
        <w:tc>
          <w:tcPr>
            <w:tcW w:w="4919" w:type="dxa"/>
          </w:tcPr>
          <w:p w14:paraId="4CE23DF0" w14:textId="77777777" w:rsidR="00723E41" w:rsidRDefault="00723E41" w:rsidP="00723E41"/>
        </w:tc>
        <w:tc>
          <w:tcPr>
            <w:tcW w:w="6804" w:type="dxa"/>
          </w:tcPr>
          <w:p w14:paraId="1E6EFD40" w14:textId="7EDE281E" w:rsidR="00723E41" w:rsidRDefault="00DB454C" w:rsidP="00723E41">
            <w:r>
              <w:t>40+40</w:t>
            </w:r>
            <w:r w:rsidR="00F16646">
              <w:t xml:space="preserve"> </w:t>
            </w:r>
            <w:r w:rsidR="005A2E05">
              <w:t>dakika</w:t>
            </w:r>
          </w:p>
        </w:tc>
      </w:tr>
      <w:tr w:rsidR="00723E41" w14:paraId="6AA5CE76" w14:textId="77777777" w:rsidTr="00845B7C">
        <w:tc>
          <w:tcPr>
            <w:tcW w:w="1597" w:type="dxa"/>
            <w:vAlign w:val="center"/>
          </w:tcPr>
          <w:p w14:paraId="5D9AD0AB" w14:textId="6870EA61" w:rsidR="00723E41" w:rsidRPr="00855F82" w:rsidRDefault="00336EC5" w:rsidP="00723E41">
            <w:pPr>
              <w:rPr>
                <w:b/>
              </w:rPr>
            </w:pPr>
            <w:r>
              <w:rPr>
                <w:b/>
              </w:rPr>
              <w:t>Güvenlik kuralları</w:t>
            </w:r>
          </w:p>
        </w:tc>
        <w:tc>
          <w:tcPr>
            <w:tcW w:w="4919" w:type="dxa"/>
          </w:tcPr>
          <w:p w14:paraId="17440E75" w14:textId="77777777" w:rsidR="00723E41" w:rsidRDefault="00723E41" w:rsidP="00723E41"/>
        </w:tc>
        <w:tc>
          <w:tcPr>
            <w:tcW w:w="6804" w:type="dxa"/>
          </w:tcPr>
          <w:p w14:paraId="28EB6C48" w14:textId="45B31ACC" w:rsidR="00723E41" w:rsidRDefault="006F0697" w:rsidP="00574119">
            <w:r>
              <w:t xml:space="preserve"> </w:t>
            </w:r>
            <w:r w:rsidR="00BA0149" w:rsidRPr="00BA0149">
              <w:rPr>
                <w:rStyle w:val="A2"/>
              </w:rPr>
              <w:t>Öğrencilerin kıyafetlerini veya sınıfı ıslatmamaları için yeterli alana sahip olduğundan emin olun. Bu aktiviteyi dışarıda veya açık bir alanda yapmak isteyebilirsiniz.</w:t>
            </w:r>
          </w:p>
        </w:tc>
      </w:tr>
      <w:tr w:rsidR="00723E41" w14:paraId="473DCA68" w14:textId="77777777" w:rsidTr="00845B7C">
        <w:tc>
          <w:tcPr>
            <w:tcW w:w="1597" w:type="dxa"/>
            <w:vAlign w:val="center"/>
          </w:tcPr>
          <w:p w14:paraId="75EE6991" w14:textId="7D6C4797" w:rsidR="00723E41" w:rsidRPr="00855F82" w:rsidRDefault="00336EC5" w:rsidP="00723E41">
            <w:pPr>
              <w:rPr>
                <w:b/>
              </w:rPr>
            </w:pPr>
            <w:r>
              <w:rPr>
                <w:b/>
              </w:rPr>
              <w:t>Aşamalar</w:t>
            </w:r>
          </w:p>
        </w:tc>
        <w:tc>
          <w:tcPr>
            <w:tcW w:w="4919" w:type="dxa"/>
          </w:tcPr>
          <w:p w14:paraId="5654E4AC" w14:textId="77777777" w:rsidR="00723E41" w:rsidRDefault="00723E41" w:rsidP="00723E41"/>
        </w:tc>
        <w:tc>
          <w:tcPr>
            <w:tcW w:w="6804" w:type="dxa"/>
          </w:tcPr>
          <w:p w14:paraId="11D58436" w14:textId="77777777" w:rsidR="00723E41" w:rsidRDefault="00723E41" w:rsidP="00723E41"/>
        </w:tc>
      </w:tr>
      <w:tr w:rsidR="00723E41" w14:paraId="2DEEC3FF" w14:textId="77777777" w:rsidTr="00845B7C">
        <w:tc>
          <w:tcPr>
            <w:tcW w:w="1597" w:type="dxa"/>
            <w:vAlign w:val="center"/>
          </w:tcPr>
          <w:p w14:paraId="288AD9DD" w14:textId="0C2F140A" w:rsidR="00723E41" w:rsidRPr="00855F82" w:rsidRDefault="007F2D64" w:rsidP="00723E41">
            <w:pPr>
              <w:rPr>
                <w:b/>
              </w:rPr>
            </w:pPr>
            <w:r>
              <w:rPr>
                <w:b/>
              </w:rPr>
              <w:t>BAĞLAMAK</w:t>
            </w:r>
          </w:p>
        </w:tc>
        <w:tc>
          <w:tcPr>
            <w:tcW w:w="4919" w:type="dxa"/>
          </w:tcPr>
          <w:p w14:paraId="221AE593" w14:textId="17353D98" w:rsidR="00116C81" w:rsidRDefault="00116C81" w:rsidP="00116C81">
            <w:pPr>
              <w:pStyle w:val="ListeParagraf"/>
              <w:numPr>
                <w:ilvl w:val="0"/>
                <w:numId w:val="1"/>
              </w:numPr>
            </w:pPr>
            <w:r>
              <w:t xml:space="preserve">Öğrencilerin dikkatini çeken, </w:t>
            </w:r>
            <w:r>
              <w:lastRenderedPageBreak/>
              <w:t>düşünmelerini teşvik eden ve ön bilgilere erişmelerine yardımcı olan etkinlikler.</w:t>
            </w:r>
          </w:p>
          <w:p w14:paraId="70889E39" w14:textId="77777777" w:rsidR="00116C81" w:rsidRDefault="00116C81" w:rsidP="00116C81">
            <w:pPr>
              <w:pStyle w:val="ListeParagraf"/>
            </w:pPr>
          </w:p>
          <w:p w14:paraId="397F0216" w14:textId="48A7F46A" w:rsidR="00723E41" w:rsidRDefault="00116C81" w:rsidP="00116C81">
            <w:pPr>
              <w:pStyle w:val="ListeParagraf"/>
              <w:numPr>
                <w:ilvl w:val="0"/>
                <w:numId w:val="1"/>
              </w:numPr>
            </w:pPr>
            <w:r>
              <w:t xml:space="preserve">Öğretmen, öğrencilerin ilgisini çeken bir problem anlatımı/katılım senaryosu, video veya kaynak oluşturur, ardından öğrencilerin sorular geliştirmesine ve ne ve </w:t>
            </w:r>
            <w:proofErr w:type="spellStart"/>
            <w:r>
              <w:t>KWHLT'yi</w:t>
            </w:r>
            <w:proofErr w:type="spellEnd"/>
            <w:r>
              <w:t xml:space="preserve"> belirlemesine yardımcı olur.</w:t>
            </w:r>
          </w:p>
        </w:tc>
        <w:tc>
          <w:tcPr>
            <w:tcW w:w="6804" w:type="dxa"/>
          </w:tcPr>
          <w:p w14:paraId="4E919F6D" w14:textId="77777777" w:rsidR="00574119" w:rsidRPr="00574119" w:rsidRDefault="00574119" w:rsidP="00574119">
            <w:pPr>
              <w:autoSpaceDE w:val="0"/>
              <w:autoSpaceDN w:val="0"/>
              <w:adjustRightInd w:val="0"/>
              <w:rPr>
                <w:rFonts w:ascii="Calibri" w:hAnsi="Calibri" w:cs="Calibri"/>
              </w:rPr>
            </w:pPr>
            <w:r w:rsidRPr="00574119">
              <w:rPr>
                <w:rFonts w:ascii="Calibri" w:hAnsi="Calibri" w:cs="Calibri"/>
              </w:rPr>
              <w:lastRenderedPageBreak/>
              <w:t>Sınıfınızla grup çalışmasının önemini tartışarak derse başlayın. Öğrencilere grup çalışması için kurallar oluşturmaları ve grup rollerine karar vermeleri için zaman verin.</w:t>
            </w:r>
          </w:p>
          <w:p w14:paraId="439DE840" w14:textId="77777777" w:rsidR="00574119" w:rsidRPr="00574119" w:rsidRDefault="00574119" w:rsidP="00574119">
            <w:pPr>
              <w:autoSpaceDE w:val="0"/>
              <w:autoSpaceDN w:val="0"/>
              <w:adjustRightInd w:val="0"/>
              <w:rPr>
                <w:rFonts w:ascii="Calibri" w:hAnsi="Calibri" w:cs="Calibri"/>
              </w:rPr>
            </w:pPr>
            <w:r w:rsidRPr="00574119">
              <w:rPr>
                <w:rFonts w:ascii="Calibri" w:hAnsi="Calibri" w:cs="Calibri"/>
              </w:rPr>
              <w:lastRenderedPageBreak/>
              <w:t>Öğrencileri gruplara ayırın.</w:t>
            </w:r>
          </w:p>
          <w:p w14:paraId="1BE3ACF4" w14:textId="77777777" w:rsidR="00574119" w:rsidRPr="00574119" w:rsidRDefault="00574119" w:rsidP="00574119">
            <w:pPr>
              <w:autoSpaceDE w:val="0"/>
              <w:autoSpaceDN w:val="0"/>
              <w:adjustRightInd w:val="0"/>
              <w:rPr>
                <w:rFonts w:ascii="Calibri" w:hAnsi="Calibri" w:cs="Calibri"/>
              </w:rPr>
            </w:pPr>
            <w:r w:rsidRPr="00574119">
              <w:rPr>
                <w:rFonts w:ascii="Calibri" w:hAnsi="Calibri" w:cs="Calibri"/>
              </w:rPr>
              <w:t>Öğrencilere aşağıdaki soruyu sorarak başlayın ve tartışın:</w:t>
            </w:r>
          </w:p>
          <w:p w14:paraId="086ECDFB" w14:textId="77777777" w:rsidR="00574119" w:rsidRPr="00574119" w:rsidRDefault="00574119" w:rsidP="00574119">
            <w:pPr>
              <w:autoSpaceDE w:val="0"/>
              <w:autoSpaceDN w:val="0"/>
              <w:adjustRightInd w:val="0"/>
              <w:rPr>
                <w:rFonts w:ascii="Calibri" w:hAnsi="Calibri" w:cs="Calibri"/>
              </w:rPr>
            </w:pPr>
          </w:p>
          <w:p w14:paraId="1DE0D8A6" w14:textId="77777777" w:rsidR="00574119" w:rsidRPr="00574119" w:rsidRDefault="00574119" w:rsidP="00574119">
            <w:pPr>
              <w:autoSpaceDE w:val="0"/>
              <w:autoSpaceDN w:val="0"/>
              <w:adjustRightInd w:val="0"/>
              <w:rPr>
                <w:rFonts w:ascii="Calibri" w:hAnsi="Calibri" w:cs="Calibri"/>
              </w:rPr>
            </w:pPr>
            <w:r w:rsidRPr="00574119">
              <w:rPr>
                <w:rFonts w:ascii="Calibri" w:hAnsi="Calibri" w:cs="Calibri"/>
              </w:rPr>
              <w:t>•</w:t>
            </w:r>
            <w:r w:rsidRPr="00574119">
              <w:rPr>
                <w:rFonts w:ascii="Calibri" w:hAnsi="Calibri" w:cs="Calibri"/>
              </w:rPr>
              <w:tab/>
              <w:t>Suyun hayatımızdaki önemi nedir?</w:t>
            </w:r>
          </w:p>
          <w:p w14:paraId="55E41033" w14:textId="77777777" w:rsidR="00574119" w:rsidRPr="00574119" w:rsidRDefault="00574119" w:rsidP="00574119">
            <w:pPr>
              <w:autoSpaceDE w:val="0"/>
              <w:autoSpaceDN w:val="0"/>
              <w:adjustRightInd w:val="0"/>
              <w:rPr>
                <w:rFonts w:ascii="Calibri" w:hAnsi="Calibri" w:cs="Calibri"/>
              </w:rPr>
            </w:pPr>
            <w:r w:rsidRPr="00574119">
              <w:rPr>
                <w:rFonts w:ascii="Calibri" w:hAnsi="Calibri" w:cs="Calibri"/>
              </w:rPr>
              <w:t>•</w:t>
            </w:r>
            <w:r w:rsidRPr="00574119">
              <w:rPr>
                <w:rFonts w:ascii="Calibri" w:hAnsi="Calibri" w:cs="Calibri"/>
              </w:rPr>
              <w:tab/>
              <w:t>Su olmadan hayat mümkün mü?</w:t>
            </w:r>
          </w:p>
          <w:p w14:paraId="197162FA" w14:textId="294E61B3" w:rsidR="00723E41" w:rsidRPr="00FE79DA" w:rsidRDefault="00574119" w:rsidP="00574119">
            <w:r w:rsidRPr="00574119">
              <w:rPr>
                <w:rFonts w:ascii="Calibri" w:hAnsi="Calibri" w:cs="Calibri"/>
              </w:rPr>
              <w:t>•</w:t>
            </w:r>
            <w:r w:rsidRPr="00574119">
              <w:rPr>
                <w:rFonts w:ascii="Calibri" w:hAnsi="Calibri" w:cs="Calibri"/>
              </w:rPr>
              <w:tab/>
              <w:t>Dünyada kaç milyon insanın temiz suya sınırlı erişimi olduğunu biliyor musunuz?</w:t>
            </w:r>
          </w:p>
        </w:tc>
      </w:tr>
      <w:tr w:rsidR="00723E41" w14:paraId="1DB56A1D" w14:textId="77777777" w:rsidTr="00845B7C">
        <w:tc>
          <w:tcPr>
            <w:tcW w:w="1597" w:type="dxa"/>
            <w:vAlign w:val="center"/>
          </w:tcPr>
          <w:p w14:paraId="3BE1E9CD" w14:textId="2BA532EF" w:rsidR="00723E41" w:rsidRPr="00855F82" w:rsidRDefault="007F2D64" w:rsidP="00723E41">
            <w:pPr>
              <w:rPr>
                <w:b/>
              </w:rPr>
            </w:pPr>
            <w:r>
              <w:rPr>
                <w:b/>
              </w:rPr>
              <w:lastRenderedPageBreak/>
              <w:t>KEŞFETMEK</w:t>
            </w:r>
          </w:p>
        </w:tc>
        <w:tc>
          <w:tcPr>
            <w:tcW w:w="4919" w:type="dxa"/>
          </w:tcPr>
          <w:p w14:paraId="7F5BB0B8" w14:textId="610B2AF3" w:rsidR="00116C81" w:rsidRDefault="00116C81" w:rsidP="00116C81">
            <w:pPr>
              <w:pStyle w:val="ListeParagraf"/>
              <w:numPr>
                <w:ilvl w:val="0"/>
                <w:numId w:val="2"/>
              </w:numPr>
            </w:pPr>
            <w:r>
              <w:t>Öğrenciler, yeni fikirler üretmek, soru ve olasılıkları keşfetmek ve bir ön araştırma tasarlamak ve yürütmek için ön bilgilerini kullanmalarına yardımcı olan laboratuvar etkinliklerini tamamlayabilirler.</w:t>
            </w:r>
          </w:p>
          <w:p w14:paraId="6639C744" w14:textId="170DA270" w:rsidR="00723E41" w:rsidRDefault="00116C81" w:rsidP="00116C81">
            <w:pPr>
              <w:pStyle w:val="ListeParagraf"/>
              <w:numPr>
                <w:ilvl w:val="0"/>
                <w:numId w:val="2"/>
              </w:numPr>
            </w:pPr>
            <w:r>
              <w:lastRenderedPageBreak/>
              <w:t>Öğrencilerin tek başlarına veya gruplar halinde, sınıfta veya uzaktan fikirlerini keşfetmelerini sağlayın. Öğrencilere, toplanan bilgileri düşünmek, planlamak, araştırmak ve düzenlemek için zaman sağlar.</w:t>
            </w:r>
          </w:p>
        </w:tc>
        <w:tc>
          <w:tcPr>
            <w:tcW w:w="6804" w:type="dxa"/>
          </w:tcPr>
          <w:p w14:paraId="7ED8A2CD" w14:textId="77777777" w:rsidR="00C27E92" w:rsidRDefault="00C27E92" w:rsidP="006D29FD">
            <w:pPr>
              <w:pStyle w:val="Default"/>
              <w:rPr>
                <w:rFonts w:asciiTheme="minorHAnsi" w:hAnsiTheme="minorHAnsi" w:cstheme="minorBidi"/>
                <w:color w:val="auto"/>
                <w:sz w:val="22"/>
                <w:szCs w:val="22"/>
              </w:rPr>
            </w:pPr>
          </w:p>
          <w:p w14:paraId="7E0B9985" w14:textId="77777777" w:rsidR="00574119" w:rsidRPr="00574119" w:rsidRDefault="00574119" w:rsidP="00574119">
            <w:pPr>
              <w:pStyle w:val="Default"/>
              <w:rPr>
                <w:rFonts w:asciiTheme="minorHAnsi" w:hAnsiTheme="minorHAnsi" w:cstheme="minorBidi"/>
                <w:color w:val="auto"/>
                <w:sz w:val="22"/>
                <w:szCs w:val="22"/>
              </w:rPr>
            </w:pPr>
            <w:r w:rsidRPr="00574119">
              <w:rPr>
                <w:rFonts w:asciiTheme="minorHAnsi" w:hAnsiTheme="minorHAnsi" w:cstheme="minorBidi"/>
                <w:color w:val="auto"/>
                <w:sz w:val="22"/>
                <w:szCs w:val="22"/>
              </w:rPr>
              <w:t xml:space="preserve">Bir beyaz tahtaya veya büyük bir </w:t>
            </w:r>
            <w:proofErr w:type="gramStart"/>
            <w:r w:rsidRPr="00574119">
              <w:rPr>
                <w:rFonts w:asciiTheme="minorHAnsi" w:hAnsiTheme="minorHAnsi" w:cstheme="minorBidi"/>
                <w:color w:val="auto"/>
                <w:sz w:val="22"/>
                <w:szCs w:val="22"/>
              </w:rPr>
              <w:t>kağıda</w:t>
            </w:r>
            <w:proofErr w:type="gramEnd"/>
            <w:r w:rsidRPr="00574119">
              <w:rPr>
                <w:rFonts w:asciiTheme="minorHAnsi" w:hAnsiTheme="minorHAnsi" w:cstheme="minorBidi"/>
                <w:color w:val="auto"/>
                <w:sz w:val="22"/>
                <w:szCs w:val="22"/>
              </w:rPr>
              <w:t xml:space="preserve"> iki sütunlu bir çizelge çizin. Bir sütuna "Temiz Su" ve diğer sütuna "Kirli Su" kelimelerini yazın. İçerik olarak mikroişlemci kartınızın suyun kirli veya temiz olması durumunda vermek istediği tepkiyi yazınız. (</w:t>
            </w:r>
            <w:proofErr w:type="spellStart"/>
            <w:r w:rsidRPr="00574119">
              <w:rPr>
                <w:rFonts w:asciiTheme="minorHAnsi" w:hAnsiTheme="minorHAnsi" w:cstheme="minorBidi"/>
                <w:color w:val="auto"/>
                <w:sz w:val="22"/>
                <w:szCs w:val="22"/>
              </w:rPr>
              <w:t>Led</w:t>
            </w:r>
            <w:proofErr w:type="spellEnd"/>
            <w:r w:rsidRPr="00574119">
              <w:rPr>
                <w:rFonts w:asciiTheme="minorHAnsi" w:hAnsiTheme="minorHAnsi" w:cstheme="minorBidi"/>
                <w:color w:val="auto"/>
                <w:sz w:val="22"/>
                <w:szCs w:val="22"/>
              </w:rPr>
              <w:t xml:space="preserve"> aydınlatma, zil sesi) Deneye başlamadan önce bulanıklık </w:t>
            </w:r>
            <w:proofErr w:type="spellStart"/>
            <w:r w:rsidRPr="00574119">
              <w:rPr>
                <w:rFonts w:asciiTheme="minorHAnsi" w:hAnsiTheme="minorHAnsi" w:cstheme="minorBidi"/>
                <w:color w:val="auto"/>
                <w:sz w:val="22"/>
                <w:szCs w:val="22"/>
              </w:rPr>
              <w:t>sensörünün</w:t>
            </w:r>
            <w:proofErr w:type="spellEnd"/>
            <w:r w:rsidRPr="00574119">
              <w:rPr>
                <w:rFonts w:asciiTheme="minorHAnsi" w:hAnsiTheme="minorHAnsi" w:cstheme="minorBidi"/>
                <w:color w:val="auto"/>
                <w:sz w:val="22"/>
                <w:szCs w:val="22"/>
              </w:rPr>
              <w:t xml:space="preserve"> çalışma mantığından bahsedilmelidir. </w:t>
            </w:r>
          </w:p>
          <w:p w14:paraId="1E0D91AF" w14:textId="77777777" w:rsidR="00574119" w:rsidRPr="00574119" w:rsidRDefault="00574119" w:rsidP="00574119">
            <w:pPr>
              <w:pStyle w:val="Default"/>
              <w:rPr>
                <w:rFonts w:asciiTheme="minorHAnsi" w:hAnsiTheme="minorHAnsi" w:cstheme="minorBidi"/>
                <w:color w:val="auto"/>
                <w:sz w:val="22"/>
                <w:szCs w:val="22"/>
              </w:rPr>
            </w:pPr>
            <w:r w:rsidRPr="00574119">
              <w:rPr>
                <w:rFonts w:asciiTheme="minorHAnsi" w:hAnsiTheme="minorHAnsi" w:cstheme="minorBidi"/>
                <w:color w:val="auto"/>
                <w:sz w:val="22"/>
                <w:szCs w:val="22"/>
              </w:rPr>
              <w:t xml:space="preserve">Bulanıklık </w:t>
            </w:r>
            <w:proofErr w:type="spellStart"/>
            <w:r w:rsidRPr="00574119">
              <w:rPr>
                <w:rFonts w:asciiTheme="minorHAnsi" w:hAnsiTheme="minorHAnsi" w:cstheme="minorBidi"/>
                <w:color w:val="auto"/>
                <w:sz w:val="22"/>
                <w:szCs w:val="22"/>
              </w:rPr>
              <w:t>sensörleri</w:t>
            </w:r>
            <w:proofErr w:type="spellEnd"/>
            <w:r w:rsidRPr="00574119">
              <w:rPr>
                <w:rFonts w:asciiTheme="minorHAnsi" w:hAnsiTheme="minorHAnsi" w:cstheme="minorBidi"/>
                <w:color w:val="auto"/>
                <w:sz w:val="22"/>
                <w:szCs w:val="22"/>
              </w:rPr>
              <w:t>, nehirlerde ve akarsularda su kalitesini ölçmek, atık su ve atık su ölçümleri, tortu taşıma araştırmaları ve laboratuvar ölçümleri için kullanılabilir.</w:t>
            </w:r>
          </w:p>
          <w:p w14:paraId="099A9E8D" w14:textId="77777777" w:rsidR="00574119" w:rsidRPr="00574119" w:rsidRDefault="00574119" w:rsidP="00574119">
            <w:pPr>
              <w:pStyle w:val="Default"/>
              <w:rPr>
                <w:rFonts w:asciiTheme="minorHAnsi" w:hAnsiTheme="minorHAnsi" w:cstheme="minorBidi"/>
                <w:color w:val="auto"/>
                <w:sz w:val="22"/>
                <w:szCs w:val="22"/>
              </w:rPr>
            </w:pPr>
          </w:p>
          <w:p w14:paraId="0D26EB86" w14:textId="48A271B8" w:rsidR="00574119" w:rsidRPr="00574119" w:rsidRDefault="00574119" w:rsidP="00574119">
            <w:pPr>
              <w:pStyle w:val="Default"/>
              <w:rPr>
                <w:rFonts w:asciiTheme="minorHAnsi" w:hAnsiTheme="minorHAnsi" w:cstheme="minorBidi"/>
                <w:color w:val="auto"/>
                <w:sz w:val="22"/>
                <w:szCs w:val="22"/>
              </w:rPr>
            </w:pPr>
            <w:r w:rsidRPr="00574119">
              <w:rPr>
                <w:rFonts w:asciiTheme="minorHAnsi" w:hAnsiTheme="minorHAnsi" w:cstheme="minorBidi"/>
                <w:color w:val="auto"/>
                <w:sz w:val="22"/>
                <w:szCs w:val="22"/>
              </w:rPr>
              <w:t xml:space="preserve">Bulanıklık </w:t>
            </w:r>
            <w:proofErr w:type="spellStart"/>
            <w:r w:rsidRPr="00574119">
              <w:rPr>
                <w:rFonts w:asciiTheme="minorHAnsi" w:hAnsiTheme="minorHAnsi" w:cstheme="minorBidi"/>
                <w:color w:val="auto"/>
                <w:sz w:val="22"/>
                <w:szCs w:val="22"/>
              </w:rPr>
              <w:t>sensörü</w:t>
            </w:r>
            <w:proofErr w:type="spellEnd"/>
            <w:r w:rsidRPr="00574119">
              <w:rPr>
                <w:rFonts w:asciiTheme="minorHAnsi" w:hAnsiTheme="minorHAnsi" w:cstheme="minorBidi"/>
                <w:color w:val="auto"/>
                <w:sz w:val="22"/>
                <w:szCs w:val="22"/>
              </w:rPr>
              <w:t xml:space="preserve"> hem analog hem de dijital sinyal çıkış </w:t>
            </w:r>
            <w:proofErr w:type="spellStart"/>
            <w:r w:rsidRPr="00574119">
              <w:rPr>
                <w:rFonts w:asciiTheme="minorHAnsi" w:hAnsiTheme="minorHAnsi" w:cstheme="minorBidi"/>
                <w:color w:val="auto"/>
                <w:sz w:val="22"/>
                <w:szCs w:val="22"/>
              </w:rPr>
              <w:t>modlarına</w:t>
            </w:r>
            <w:proofErr w:type="spellEnd"/>
            <w:r w:rsidRPr="00574119">
              <w:rPr>
                <w:rFonts w:asciiTheme="minorHAnsi" w:hAnsiTheme="minorHAnsi" w:cstheme="minorBidi"/>
                <w:color w:val="auto"/>
                <w:sz w:val="22"/>
                <w:szCs w:val="22"/>
              </w:rPr>
              <w:t xml:space="preserve"> sahiptir. </w:t>
            </w:r>
          </w:p>
          <w:p w14:paraId="55C5295E" w14:textId="29263206" w:rsidR="006D29FD" w:rsidRPr="006D29FD" w:rsidRDefault="00574119" w:rsidP="00574119">
            <w:pPr>
              <w:pStyle w:val="Default"/>
              <w:rPr>
                <w:rFonts w:asciiTheme="minorHAnsi" w:hAnsiTheme="minorHAnsi" w:cstheme="minorBidi"/>
                <w:color w:val="auto"/>
                <w:sz w:val="22"/>
                <w:szCs w:val="22"/>
              </w:rPr>
            </w:pPr>
            <w:r w:rsidRPr="00574119">
              <w:rPr>
                <w:rFonts w:asciiTheme="minorHAnsi" w:hAnsiTheme="minorHAnsi" w:cstheme="minorBidi"/>
                <w:color w:val="auto"/>
                <w:sz w:val="22"/>
                <w:szCs w:val="22"/>
              </w:rPr>
              <w:t xml:space="preserve">Devre kurulumunun tamamlanmasının ardından kap içerisinde temiz suyun </w:t>
            </w:r>
            <w:proofErr w:type="spellStart"/>
            <w:r w:rsidRPr="00574119">
              <w:rPr>
                <w:rFonts w:asciiTheme="minorHAnsi" w:hAnsiTheme="minorHAnsi" w:cstheme="minorBidi"/>
                <w:color w:val="auto"/>
                <w:sz w:val="22"/>
                <w:szCs w:val="22"/>
              </w:rPr>
              <w:t>sensör</w:t>
            </w:r>
            <w:proofErr w:type="spellEnd"/>
            <w:r w:rsidRPr="00574119">
              <w:rPr>
                <w:rFonts w:asciiTheme="minorHAnsi" w:hAnsiTheme="minorHAnsi" w:cstheme="minorBidi"/>
                <w:color w:val="auto"/>
                <w:sz w:val="22"/>
                <w:szCs w:val="22"/>
              </w:rPr>
              <w:t xml:space="preserve"> yardımı ile ölçümü yapılır. Su temiz ise beklenen sinyalin verilip verilmediğine bakılır. Daha sonra aynı işlem kirli su için de yapılır.</w:t>
            </w:r>
          </w:p>
          <w:p w14:paraId="578829B8" w14:textId="6E78AD09" w:rsidR="00710B01" w:rsidRDefault="00710B01" w:rsidP="006D29FD"/>
        </w:tc>
      </w:tr>
      <w:tr w:rsidR="00723E41" w14:paraId="0330F41B" w14:textId="77777777" w:rsidTr="00845B7C">
        <w:tc>
          <w:tcPr>
            <w:tcW w:w="1597" w:type="dxa"/>
            <w:vAlign w:val="center"/>
          </w:tcPr>
          <w:p w14:paraId="53B48E16" w14:textId="12694858" w:rsidR="00723E41" w:rsidRPr="00855F82" w:rsidRDefault="007F2D64" w:rsidP="00723E41">
            <w:pPr>
              <w:rPr>
                <w:b/>
              </w:rPr>
            </w:pPr>
            <w:r>
              <w:rPr>
                <w:b/>
              </w:rPr>
              <w:t>AÇIKLAMA</w:t>
            </w:r>
          </w:p>
        </w:tc>
        <w:tc>
          <w:tcPr>
            <w:tcW w:w="4919" w:type="dxa"/>
          </w:tcPr>
          <w:p w14:paraId="7F2669F7" w14:textId="74D0DE57" w:rsidR="00116C81" w:rsidRDefault="00116C81" w:rsidP="00116C81">
            <w:pPr>
              <w:pStyle w:val="ListeParagraf"/>
              <w:numPr>
                <w:ilvl w:val="0"/>
                <w:numId w:val="3"/>
              </w:numPr>
            </w:pPr>
            <w:r>
              <w:t>Açıklama aşaması, öğrencilerin dikkatini katılım ve keşif deneyimlerinin belirli bir yönüne odaklar ve kavramsal anlayışlarını, süreç becerilerini veya davranışlarını gösterme fırsatları sunar.</w:t>
            </w:r>
          </w:p>
          <w:p w14:paraId="7FBC2495" w14:textId="5F17C727" w:rsidR="00116C81" w:rsidRDefault="00116C81" w:rsidP="00116C81">
            <w:pPr>
              <w:pStyle w:val="ListeParagraf"/>
              <w:numPr>
                <w:ilvl w:val="0"/>
                <w:numId w:val="3"/>
              </w:numPr>
            </w:pPr>
            <w:r>
              <w:t xml:space="preserve">Bu aşama aynı zamanda öğretmenlere bir kavramı, süreci veya beceriyi doğrudan tanıtma fırsatları da sağlar. Öğrenciler </w:t>
            </w:r>
            <w:r>
              <w:lastRenderedPageBreak/>
              <w:t>kavramla ilgili anlayışlarını açıklar.</w:t>
            </w:r>
          </w:p>
          <w:p w14:paraId="3B6BA9DD" w14:textId="6C0FF6E6" w:rsidR="00723E41" w:rsidRDefault="00116C81" w:rsidP="00116C81">
            <w:pPr>
              <w:pStyle w:val="ListeParagraf"/>
              <w:numPr>
                <w:ilvl w:val="0"/>
                <w:numId w:val="3"/>
              </w:numPr>
            </w:pPr>
            <w:r>
              <w:t>En önemlisi, bu aşama öğrencilerin açıklamalarını ifade etmelerine ve öğretmenin öğretilebilir anları kullanmasına olanak tanır.</w:t>
            </w:r>
          </w:p>
        </w:tc>
        <w:tc>
          <w:tcPr>
            <w:tcW w:w="6804" w:type="dxa"/>
          </w:tcPr>
          <w:p w14:paraId="4427B8EE" w14:textId="06C85886" w:rsidR="00197249" w:rsidRDefault="00AC564F" w:rsidP="00197249">
            <w:r w:rsidRPr="00AC564F">
              <w:lastRenderedPageBreak/>
              <w:t xml:space="preserve">İçilebilir suların kirlenmesi her geçen gün artmaktadır. Bu duruma evsel atıkların, sanayi atıklarının, tarımsal kirleticilerin, doğal atıkların temiz sulara karışması neden olmaktadır. Suların kirlenmesinin esas nedeni ise madencilik, </w:t>
            </w:r>
            <w:proofErr w:type="spellStart"/>
            <w:r w:rsidRPr="00AC564F">
              <w:t>metalurji</w:t>
            </w:r>
            <w:proofErr w:type="spellEnd"/>
            <w:r w:rsidRPr="00AC564F">
              <w:t>, kimya, dericilik gibi çeşitli endüstri kollarının yarattığı atıkların uygun şekilde arıtılmaması ve doğrudan çevreye verilmesidir. Bu atıkların 1 litresi ile 8 litre temiz suyun kirlendiği düşünülürse, 1 litre suyun temizlenmesi için harcanmayan para 9 litre suyun temizlenmesine harcanacak paraya mal olmaktadır. Dolayısıyla esas neden de çözümde sanayide suyun dikkatli kullanımından geçmektedir! Atıklar, temiz sulara karışmadan gerekli teknolojinin kullanılması ile arıtılmalı, bu amaçla sanayi tarafından yeterli bütçe ayrılmalı ve devlet gerçekçi şekilde firmaları denetlemelidir.</w:t>
            </w:r>
          </w:p>
          <w:p w14:paraId="3279BC13" w14:textId="40A44863" w:rsidR="007C18C3" w:rsidRDefault="004406FD" w:rsidP="004406FD">
            <w:pPr>
              <w:pStyle w:val="ListeParagraf"/>
              <w:ind w:left="0"/>
            </w:pPr>
            <w:r>
              <w:t xml:space="preserve"> </w:t>
            </w:r>
          </w:p>
        </w:tc>
      </w:tr>
      <w:tr w:rsidR="00723E41" w14:paraId="3E0964D8" w14:textId="77777777" w:rsidTr="00845B7C">
        <w:tc>
          <w:tcPr>
            <w:tcW w:w="1597" w:type="dxa"/>
            <w:vAlign w:val="center"/>
          </w:tcPr>
          <w:p w14:paraId="08116310" w14:textId="19FA6C6C" w:rsidR="00723E41" w:rsidRPr="00855F82" w:rsidRDefault="007F2D64" w:rsidP="00723E41">
            <w:pPr>
              <w:rPr>
                <w:b/>
              </w:rPr>
            </w:pPr>
            <w:r>
              <w:rPr>
                <w:b/>
              </w:rPr>
              <w:t>DETAYLANDIRMA</w:t>
            </w:r>
          </w:p>
        </w:tc>
        <w:tc>
          <w:tcPr>
            <w:tcW w:w="4919" w:type="dxa"/>
          </w:tcPr>
          <w:p w14:paraId="51CD40D4" w14:textId="31F476F4" w:rsidR="0038338E" w:rsidRDefault="0038338E" w:rsidP="0038338E">
            <w:pPr>
              <w:pStyle w:val="ListeParagraf"/>
              <w:numPr>
                <w:ilvl w:val="0"/>
                <w:numId w:val="4"/>
              </w:numPr>
            </w:pPr>
            <w:r>
              <w:t>İlgili ancak yeni deneyimler yoluyla, öğrenciler daha derin ve daha geniş bir anlayış, daha fazla bilgi ve yeterli beceriler geliştirir.</w:t>
            </w:r>
          </w:p>
          <w:p w14:paraId="376C3F83" w14:textId="1002C6AD" w:rsidR="00723E41" w:rsidRDefault="0038338E" w:rsidP="0038338E">
            <w:pPr>
              <w:pStyle w:val="ListeParagraf"/>
              <w:numPr>
                <w:ilvl w:val="0"/>
                <w:numId w:val="4"/>
              </w:numPr>
            </w:pPr>
            <w:r>
              <w:t>Öğrenciler daha önce tanıtılan kavramları ve deneyimleri yeni durumlara uygular veya genişletir. Öğrenciler bilgilerini gerçek dünya uygulamalarına uygular</w:t>
            </w:r>
          </w:p>
        </w:tc>
        <w:tc>
          <w:tcPr>
            <w:tcW w:w="6804" w:type="dxa"/>
          </w:tcPr>
          <w:p w14:paraId="14BE50A8" w14:textId="77777777" w:rsidR="00574119" w:rsidRDefault="00574119" w:rsidP="00574119">
            <w:pPr>
              <w:pStyle w:val="ListeParagraf"/>
              <w:ind w:left="113"/>
            </w:pPr>
            <w:r>
              <w:t xml:space="preserve">Malzemeler: Tablet veya laptop, </w:t>
            </w:r>
            <w:proofErr w:type="spellStart"/>
            <w:r>
              <w:t>Arduino</w:t>
            </w:r>
            <w:proofErr w:type="spellEnd"/>
            <w:r>
              <w:t xml:space="preserve"> </w:t>
            </w:r>
            <w:proofErr w:type="spellStart"/>
            <w:r>
              <w:t>uno</w:t>
            </w:r>
            <w:proofErr w:type="spellEnd"/>
            <w:r>
              <w:t xml:space="preserve">, </w:t>
            </w:r>
            <w:proofErr w:type="spellStart"/>
            <w:r>
              <w:t>Arduino</w:t>
            </w:r>
            <w:proofErr w:type="spellEnd"/>
            <w:r>
              <w:t xml:space="preserve"> </w:t>
            </w:r>
            <w:proofErr w:type="spellStart"/>
            <w:r>
              <w:t>usb</w:t>
            </w:r>
            <w:proofErr w:type="spellEnd"/>
            <w:r>
              <w:t xml:space="preserve"> kablosu, Bulanıklık </w:t>
            </w:r>
            <w:proofErr w:type="spellStart"/>
            <w:r>
              <w:t>sensörü</w:t>
            </w:r>
            <w:proofErr w:type="spellEnd"/>
            <w:r>
              <w:t xml:space="preserve">, </w:t>
            </w:r>
            <w:proofErr w:type="spellStart"/>
            <w:r>
              <w:t>Breadboard</w:t>
            </w:r>
            <w:proofErr w:type="spellEnd"/>
            <w:r>
              <w:t xml:space="preserve">, </w:t>
            </w:r>
            <w:proofErr w:type="spellStart"/>
            <w:r>
              <w:t>Led</w:t>
            </w:r>
            <w:proofErr w:type="spellEnd"/>
            <w:r>
              <w:t xml:space="preserve"> lamba, </w:t>
            </w:r>
            <w:proofErr w:type="spellStart"/>
            <w:r>
              <w:t>Jumper</w:t>
            </w:r>
            <w:proofErr w:type="spellEnd"/>
            <w:r>
              <w:t xml:space="preserve"> kabloları</w:t>
            </w:r>
          </w:p>
          <w:p w14:paraId="642903FD" w14:textId="77777777" w:rsidR="00574119" w:rsidRDefault="00574119" w:rsidP="00574119">
            <w:pPr>
              <w:pStyle w:val="ListeParagraf"/>
              <w:ind w:left="113"/>
            </w:pPr>
          </w:p>
          <w:p w14:paraId="148ADB47" w14:textId="77777777" w:rsidR="00574119" w:rsidRDefault="00574119" w:rsidP="00574119">
            <w:pPr>
              <w:pStyle w:val="ListeParagraf"/>
              <w:ind w:left="113"/>
            </w:pPr>
            <w:r>
              <w:t xml:space="preserve">Öğrencilere "Eldeki malzemelerle suyun temiz mi kirli mi olduğunu ölçmek ister misiniz?" sorusu sorulu.  Sonra onlardan </w:t>
            </w:r>
            <w:proofErr w:type="spellStart"/>
            <w:r>
              <w:t>Arduino</w:t>
            </w:r>
            <w:proofErr w:type="spellEnd"/>
            <w:r>
              <w:t xml:space="preserve"> destekli robotik mekanizmayı kurmaları istenir.</w:t>
            </w:r>
          </w:p>
          <w:p w14:paraId="2E0AE885" w14:textId="77777777" w:rsidR="00574119" w:rsidRDefault="00574119" w:rsidP="00574119">
            <w:pPr>
              <w:pStyle w:val="ListeParagraf"/>
              <w:ind w:left="113"/>
            </w:pPr>
          </w:p>
          <w:p w14:paraId="7386F2DB" w14:textId="77777777" w:rsidR="00574119" w:rsidRDefault="00574119" w:rsidP="00574119">
            <w:pPr>
              <w:pStyle w:val="ListeParagraf"/>
              <w:ind w:left="113"/>
            </w:pPr>
            <w:r>
              <w:t xml:space="preserve">Bulanıklık </w:t>
            </w:r>
            <w:proofErr w:type="spellStart"/>
            <w:r>
              <w:t>sensörü</w:t>
            </w:r>
            <w:proofErr w:type="spellEnd"/>
            <w:r>
              <w:t xml:space="preserve"> öğrenciler tarafından </w:t>
            </w:r>
            <w:proofErr w:type="spellStart"/>
            <w:r>
              <w:t>Arduino</w:t>
            </w:r>
            <w:proofErr w:type="spellEnd"/>
            <w:r>
              <w:t xml:space="preserve"> mikroişlemcisine bağlanır. Her öğrenci yukarıdaki işlemleri tamamladıktan sonra </w:t>
            </w:r>
            <w:proofErr w:type="spellStart"/>
            <w:r>
              <w:t>Arduino</w:t>
            </w:r>
            <w:proofErr w:type="spellEnd"/>
            <w:r>
              <w:t xml:space="preserve"> mikroişlemci bilgisayara bağlanır.</w:t>
            </w:r>
          </w:p>
          <w:p w14:paraId="1B1FB2C6" w14:textId="77777777" w:rsidR="00574119" w:rsidRDefault="00574119" w:rsidP="00574119">
            <w:pPr>
              <w:pStyle w:val="ListeParagraf"/>
              <w:ind w:left="113"/>
            </w:pPr>
            <w:proofErr w:type="spellStart"/>
            <w:r>
              <w:t>Arduino</w:t>
            </w:r>
            <w:proofErr w:type="spellEnd"/>
            <w:r>
              <w:t xml:space="preserve"> programında bulunan kullanıma hazır kodlar öğrenciler tarafından USB kablosu ile </w:t>
            </w:r>
            <w:proofErr w:type="spellStart"/>
            <w:r>
              <w:t>Arduino</w:t>
            </w:r>
            <w:proofErr w:type="spellEnd"/>
            <w:r>
              <w:t xml:space="preserve"> mikroişlemcisine aktarılır. </w:t>
            </w:r>
          </w:p>
          <w:p w14:paraId="2A1A091B" w14:textId="77777777" w:rsidR="00574119" w:rsidRDefault="00574119" w:rsidP="00574119">
            <w:pPr>
              <w:pStyle w:val="ListeParagraf"/>
              <w:ind w:left="113"/>
            </w:pPr>
            <w:proofErr w:type="spellStart"/>
            <w:r>
              <w:t>Arduino</w:t>
            </w:r>
            <w:proofErr w:type="spellEnd"/>
            <w:r>
              <w:t xml:space="preserve"> destekli robotik ve kodlama uygulamasının çalışıp çalışmadığı kontrol edilir.</w:t>
            </w:r>
          </w:p>
          <w:p w14:paraId="43DC2CF8" w14:textId="77777777" w:rsidR="00574119" w:rsidRDefault="00574119" w:rsidP="00574119">
            <w:pPr>
              <w:pStyle w:val="ListeParagraf"/>
              <w:ind w:left="113"/>
            </w:pPr>
            <w:r>
              <w:t xml:space="preserve">Öğrencilerden </w:t>
            </w:r>
            <w:proofErr w:type="spellStart"/>
            <w:r>
              <w:t>arduino</w:t>
            </w:r>
            <w:proofErr w:type="spellEnd"/>
            <w:r>
              <w:t xml:space="preserve"> programında araçlar menüsünde bulunan seri çizici sekmesini açmaları istenir. Her öğrenci oluşturduğu robotik ve kodlama mekanizmasındaki bulanıklık </w:t>
            </w:r>
            <w:proofErr w:type="spellStart"/>
            <w:r>
              <w:t>sensörünü</w:t>
            </w:r>
            <w:proofErr w:type="spellEnd"/>
            <w:r>
              <w:t xml:space="preserve"> iki farklı su bulunan kabın içine yerleştirir ve ölçümleri yapılır.</w:t>
            </w:r>
          </w:p>
          <w:p w14:paraId="3DDF8818" w14:textId="47165BA7" w:rsidR="00107E74" w:rsidRDefault="00574119" w:rsidP="00574119">
            <w:pPr>
              <w:pStyle w:val="ListeParagraf"/>
              <w:ind w:left="113"/>
            </w:pPr>
            <w:r>
              <w:t xml:space="preserve">Her öğrenci bu ölçümlerle ilgili değerleri görür ve ilgili sinyal geri bildirimini </w:t>
            </w:r>
            <w:proofErr w:type="spellStart"/>
            <w:proofErr w:type="gramStart"/>
            <w:r>
              <w:t>alır.</w:t>
            </w:r>
            <w:r w:rsidR="00F37E98">
              <w:t>Farklı</w:t>
            </w:r>
            <w:proofErr w:type="spellEnd"/>
            <w:proofErr w:type="gramEnd"/>
            <w:r w:rsidR="00F37E98">
              <w:t xml:space="preserve"> su kaplarında oluşan debi ve buna bağlı olarak biriken su mik</w:t>
            </w:r>
            <w:r w:rsidR="000B10D8">
              <w:t>t</w:t>
            </w:r>
            <w:r w:rsidR="00F37E98">
              <w:t>arını h</w:t>
            </w:r>
            <w:r w:rsidR="00EB6A5E">
              <w:t xml:space="preserve">er öğrenci </w:t>
            </w:r>
            <w:r w:rsidR="00F37E98">
              <w:t>kaydeder.</w:t>
            </w:r>
            <w:r w:rsidR="00AC564F">
              <w:t xml:space="preserve"> </w:t>
            </w:r>
          </w:p>
          <w:p w14:paraId="3FC6FFFE" w14:textId="77777777" w:rsidR="002252C2" w:rsidRDefault="002252C2" w:rsidP="00574119">
            <w:pPr>
              <w:pStyle w:val="ListeParagraf"/>
              <w:ind w:left="113"/>
            </w:pPr>
          </w:p>
          <w:p w14:paraId="7E4BD3CD" w14:textId="2CE645F4" w:rsidR="00AC564F" w:rsidRPr="00590CC9" w:rsidRDefault="00AC564F" w:rsidP="00574119">
            <w:pPr>
              <w:pStyle w:val="ListeParagraf"/>
              <w:ind w:left="113"/>
              <w:rPr>
                <w:b/>
              </w:rPr>
            </w:pPr>
            <w:r w:rsidRPr="00590CC9">
              <w:rPr>
                <w:b/>
                <w:color w:val="FF0000"/>
              </w:rPr>
              <w:t xml:space="preserve">Gerekli tüm dosyalar </w:t>
            </w:r>
            <w:r w:rsidR="00BB7B76">
              <w:rPr>
                <w:b/>
                <w:color w:val="FF0000"/>
              </w:rPr>
              <w:t xml:space="preserve">Kaynaklar </w:t>
            </w:r>
            <w:r w:rsidRPr="00590CC9">
              <w:rPr>
                <w:b/>
                <w:color w:val="FF0000"/>
              </w:rPr>
              <w:t>1 klasöründe yer almaktadır.</w:t>
            </w:r>
          </w:p>
        </w:tc>
      </w:tr>
      <w:tr w:rsidR="00723E41" w14:paraId="58F41278" w14:textId="77777777" w:rsidTr="00845B7C">
        <w:tc>
          <w:tcPr>
            <w:tcW w:w="1597" w:type="dxa"/>
            <w:vAlign w:val="center"/>
          </w:tcPr>
          <w:p w14:paraId="096E989A" w14:textId="70AFE1AD" w:rsidR="00723E41" w:rsidRPr="00855F82" w:rsidRDefault="007F2D64" w:rsidP="00723E41">
            <w:pPr>
              <w:rPr>
                <w:b/>
              </w:rPr>
            </w:pPr>
            <w:r>
              <w:rPr>
                <w:b/>
              </w:rPr>
              <w:t>DEĞERLENDİRME</w:t>
            </w:r>
          </w:p>
        </w:tc>
        <w:tc>
          <w:tcPr>
            <w:tcW w:w="4919" w:type="dxa"/>
          </w:tcPr>
          <w:p w14:paraId="72E0EF29" w14:textId="66FDF6B2" w:rsidR="00723E41" w:rsidRDefault="0038338E" w:rsidP="00723E41">
            <w:pPr>
              <w:pStyle w:val="ListeParagraf"/>
              <w:numPr>
                <w:ilvl w:val="0"/>
                <w:numId w:val="5"/>
              </w:numPr>
              <w:ind w:left="170" w:hanging="113"/>
            </w:pPr>
            <w:r w:rsidRPr="0038338E">
              <w:t xml:space="preserve">Değerlendirme aşaması, öğrencileri kendi anlayışlarını ve yeteneklerini değerlendirmeye teşvik </w:t>
            </w:r>
            <w:r w:rsidRPr="0038338E">
              <w:lastRenderedPageBreak/>
              <w:t>eder ve öğretmenlere, öğrencilerin eğitim hedeflerine ulaşma yolunda kaydettiği ilerlemeyi değerlendirmeleri için fırsatlar sunar.</w:t>
            </w:r>
          </w:p>
        </w:tc>
        <w:tc>
          <w:tcPr>
            <w:tcW w:w="6804" w:type="dxa"/>
          </w:tcPr>
          <w:p w14:paraId="3A43DFF8" w14:textId="73227B97" w:rsidR="00723E41" w:rsidRDefault="00574119" w:rsidP="00574119">
            <w:pPr>
              <w:pStyle w:val="ListeParagraf"/>
              <w:ind w:left="113"/>
            </w:pPr>
            <w:r w:rsidRPr="00574119">
              <w:lastRenderedPageBreak/>
              <w:t xml:space="preserve">Değerlendirme </w:t>
            </w:r>
            <w:proofErr w:type="gramStart"/>
            <w:r w:rsidRPr="00574119">
              <w:t>aşamasında ,</w:t>
            </w:r>
            <w:proofErr w:type="gramEnd"/>
            <w:r w:rsidRPr="00574119">
              <w:t xml:space="preserve"> öğretmenler öğrencileri </w:t>
            </w:r>
            <w:r>
              <w:t>öğrendiklerini</w:t>
            </w:r>
            <w:r w:rsidRPr="00574119">
              <w:t xml:space="preserve"> ve yeteneklerini değerlendirmeye teşvik eder ve, öğrencilerin eğitim hedeflerine ulaşma yolunda kaydettikleri ilerlemeyi değerlendirmeleri için fırsatlar sunar. Bu deneyde ne öğrendiklerini, devre kurulumunda sorun yaşayıp yaşamadıklarını sorar. Öğrencilerin temiz suyun önemine ilişkin farkındalığı artırılır.</w:t>
            </w:r>
          </w:p>
        </w:tc>
      </w:tr>
    </w:tbl>
    <w:p w14:paraId="26757C95" w14:textId="77777777" w:rsidR="00855F82" w:rsidRDefault="00855F82" w:rsidP="00855F82"/>
    <w:sectPr w:rsidR="00855F82" w:rsidSect="00A97B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Proxima Nova Sof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70522"/>
    <w:multiLevelType w:val="hybridMultilevel"/>
    <w:tmpl w:val="22D6E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9F4A19"/>
    <w:multiLevelType w:val="hybridMultilevel"/>
    <w:tmpl w:val="9F82C90E"/>
    <w:lvl w:ilvl="0" w:tplc="DE807F3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B5101D"/>
    <w:multiLevelType w:val="hybridMultilevel"/>
    <w:tmpl w:val="BFDE5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614B2F"/>
    <w:multiLevelType w:val="hybridMultilevel"/>
    <w:tmpl w:val="28BAC2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987966"/>
    <w:multiLevelType w:val="hybridMultilevel"/>
    <w:tmpl w:val="4A1A3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B606D4C"/>
    <w:multiLevelType w:val="hybridMultilevel"/>
    <w:tmpl w:val="A02C3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52829EF"/>
    <w:multiLevelType w:val="hybridMultilevel"/>
    <w:tmpl w:val="D69CB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31E0701"/>
    <w:multiLevelType w:val="hybridMultilevel"/>
    <w:tmpl w:val="A03C9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3051BD"/>
    <w:multiLevelType w:val="hybridMultilevel"/>
    <w:tmpl w:val="0BD2C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8"/>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2C"/>
    <w:rsid w:val="00046CD0"/>
    <w:rsid w:val="000534DB"/>
    <w:rsid w:val="000635E5"/>
    <w:rsid w:val="000B10D8"/>
    <w:rsid w:val="000E3F82"/>
    <w:rsid w:val="000F423C"/>
    <w:rsid w:val="00107E74"/>
    <w:rsid w:val="00116C81"/>
    <w:rsid w:val="001563CD"/>
    <w:rsid w:val="0016711C"/>
    <w:rsid w:val="00197249"/>
    <w:rsid w:val="001A6688"/>
    <w:rsid w:val="001C212D"/>
    <w:rsid w:val="001D59BC"/>
    <w:rsid w:val="001E3A14"/>
    <w:rsid w:val="001F49CD"/>
    <w:rsid w:val="001F5BE4"/>
    <w:rsid w:val="00203FEA"/>
    <w:rsid w:val="002252C2"/>
    <w:rsid w:val="00254415"/>
    <w:rsid w:val="00336EC5"/>
    <w:rsid w:val="00364BB1"/>
    <w:rsid w:val="003774B9"/>
    <w:rsid w:val="0037756C"/>
    <w:rsid w:val="0038338E"/>
    <w:rsid w:val="00384F96"/>
    <w:rsid w:val="00392129"/>
    <w:rsid w:val="003A5AC3"/>
    <w:rsid w:val="003C100C"/>
    <w:rsid w:val="003C2FC4"/>
    <w:rsid w:val="003E2B5D"/>
    <w:rsid w:val="003E6366"/>
    <w:rsid w:val="00433D2A"/>
    <w:rsid w:val="004406FD"/>
    <w:rsid w:val="00491166"/>
    <w:rsid w:val="00492D0C"/>
    <w:rsid w:val="004A0CEB"/>
    <w:rsid w:val="004B1F3F"/>
    <w:rsid w:val="004C01DB"/>
    <w:rsid w:val="004D274D"/>
    <w:rsid w:val="004D2961"/>
    <w:rsid w:val="004F5F73"/>
    <w:rsid w:val="00562429"/>
    <w:rsid w:val="00574119"/>
    <w:rsid w:val="00590CC9"/>
    <w:rsid w:val="005A2E05"/>
    <w:rsid w:val="005C67FA"/>
    <w:rsid w:val="005F7138"/>
    <w:rsid w:val="006833AA"/>
    <w:rsid w:val="006958BE"/>
    <w:rsid w:val="006C2C7C"/>
    <w:rsid w:val="006D29FD"/>
    <w:rsid w:val="006F0697"/>
    <w:rsid w:val="006F2AE2"/>
    <w:rsid w:val="00710B01"/>
    <w:rsid w:val="007233F1"/>
    <w:rsid w:val="00723E41"/>
    <w:rsid w:val="00746DA5"/>
    <w:rsid w:val="00751C10"/>
    <w:rsid w:val="007C18C3"/>
    <w:rsid w:val="007F2D64"/>
    <w:rsid w:val="0081361D"/>
    <w:rsid w:val="00845B7C"/>
    <w:rsid w:val="00855F82"/>
    <w:rsid w:val="00860DDF"/>
    <w:rsid w:val="008E48B5"/>
    <w:rsid w:val="0093357B"/>
    <w:rsid w:val="0094456F"/>
    <w:rsid w:val="009549BE"/>
    <w:rsid w:val="009873F2"/>
    <w:rsid w:val="009B6288"/>
    <w:rsid w:val="009F62EE"/>
    <w:rsid w:val="00A240B8"/>
    <w:rsid w:val="00A24CDF"/>
    <w:rsid w:val="00A42972"/>
    <w:rsid w:val="00A55E4E"/>
    <w:rsid w:val="00A90502"/>
    <w:rsid w:val="00A93A0A"/>
    <w:rsid w:val="00A97B5B"/>
    <w:rsid w:val="00AC564F"/>
    <w:rsid w:val="00AD6B2C"/>
    <w:rsid w:val="00AE2C6A"/>
    <w:rsid w:val="00AF6F2A"/>
    <w:rsid w:val="00B24606"/>
    <w:rsid w:val="00B276A9"/>
    <w:rsid w:val="00B362E7"/>
    <w:rsid w:val="00BA0149"/>
    <w:rsid w:val="00BB7278"/>
    <w:rsid w:val="00BB7B76"/>
    <w:rsid w:val="00BD5E12"/>
    <w:rsid w:val="00C27E92"/>
    <w:rsid w:val="00C8119E"/>
    <w:rsid w:val="00CF4408"/>
    <w:rsid w:val="00CF6919"/>
    <w:rsid w:val="00D9705A"/>
    <w:rsid w:val="00DA70F4"/>
    <w:rsid w:val="00DB454C"/>
    <w:rsid w:val="00DE4FA5"/>
    <w:rsid w:val="00E14F35"/>
    <w:rsid w:val="00E42A0D"/>
    <w:rsid w:val="00E84B4D"/>
    <w:rsid w:val="00E9364B"/>
    <w:rsid w:val="00E96C6C"/>
    <w:rsid w:val="00EB5BA5"/>
    <w:rsid w:val="00EB6A5E"/>
    <w:rsid w:val="00EC65F0"/>
    <w:rsid w:val="00F1401E"/>
    <w:rsid w:val="00F16646"/>
    <w:rsid w:val="00F24FFA"/>
    <w:rsid w:val="00F37E98"/>
    <w:rsid w:val="00F70104"/>
    <w:rsid w:val="00FA3EA4"/>
    <w:rsid w:val="00FE7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557F"/>
  <w15:chartTrackingRefBased/>
  <w15:docId w15:val="{33AE8C1B-AEEF-4695-B9A9-4C735A40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D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55F82"/>
    <w:pPr>
      <w:ind w:left="720"/>
      <w:contextualSpacing/>
    </w:pPr>
  </w:style>
  <w:style w:type="character" w:styleId="Kpr">
    <w:name w:val="Hyperlink"/>
    <w:basedOn w:val="VarsaylanParagrafYazTipi"/>
    <w:uiPriority w:val="99"/>
    <w:unhideWhenUsed/>
    <w:rsid w:val="005F7138"/>
    <w:rPr>
      <w:color w:val="0563C1" w:themeColor="hyperlink"/>
      <w:u w:val="single"/>
    </w:rPr>
  </w:style>
  <w:style w:type="paragraph" w:customStyle="1" w:styleId="Default">
    <w:name w:val="Default"/>
    <w:rsid w:val="006F2AE2"/>
    <w:pPr>
      <w:autoSpaceDE w:val="0"/>
      <w:autoSpaceDN w:val="0"/>
      <w:adjustRightInd w:val="0"/>
      <w:spacing w:after="0" w:line="240" w:lineRule="auto"/>
    </w:pPr>
    <w:rPr>
      <w:rFonts w:ascii="Proxima Nova Soft" w:hAnsi="Proxima Nova Soft" w:cs="Proxima Nova Soft"/>
      <w:color w:val="000000"/>
      <w:sz w:val="24"/>
      <w:szCs w:val="24"/>
    </w:rPr>
  </w:style>
  <w:style w:type="paragraph" w:customStyle="1" w:styleId="Pa0">
    <w:name w:val="Pa0"/>
    <w:basedOn w:val="Default"/>
    <w:next w:val="Default"/>
    <w:uiPriority w:val="99"/>
    <w:rsid w:val="006F2AE2"/>
    <w:pPr>
      <w:spacing w:line="241" w:lineRule="atLeast"/>
    </w:pPr>
    <w:rPr>
      <w:rFonts w:cstheme="minorBidi"/>
      <w:color w:val="auto"/>
    </w:rPr>
  </w:style>
  <w:style w:type="character" w:customStyle="1" w:styleId="A2">
    <w:name w:val="A2"/>
    <w:uiPriority w:val="99"/>
    <w:rsid w:val="006F2AE2"/>
    <w:rPr>
      <w:rFonts w:cs="Proxima Nova Soft"/>
      <w:color w:val="000000"/>
      <w:sz w:val="20"/>
      <w:szCs w:val="20"/>
    </w:rPr>
  </w:style>
  <w:style w:type="character" w:styleId="zlenenKpr">
    <w:name w:val="FollowedHyperlink"/>
    <w:basedOn w:val="VarsaylanParagrafYazTipi"/>
    <w:uiPriority w:val="99"/>
    <w:semiHidden/>
    <w:unhideWhenUsed/>
    <w:rsid w:val="006833AA"/>
    <w:rPr>
      <w:color w:val="954F72" w:themeColor="followedHyperlink"/>
      <w:u w:val="single"/>
    </w:rPr>
  </w:style>
  <w:style w:type="character" w:customStyle="1" w:styleId="zmlenmeyenBahsetme1">
    <w:name w:val="Çözümlenmeyen Bahsetme1"/>
    <w:basedOn w:val="VarsaylanParagrafYazTipi"/>
    <w:uiPriority w:val="99"/>
    <w:semiHidden/>
    <w:unhideWhenUsed/>
    <w:rsid w:val="006D29FD"/>
    <w:rPr>
      <w:color w:val="605E5C"/>
      <w:shd w:val="clear" w:color="auto" w:fill="E1DFDD"/>
    </w:rPr>
  </w:style>
  <w:style w:type="character" w:styleId="zmlenmeyenBahsetme">
    <w:name w:val="Unresolved Mention"/>
    <w:basedOn w:val="VarsaylanParagrafYazTipi"/>
    <w:uiPriority w:val="99"/>
    <w:semiHidden/>
    <w:unhideWhenUsed/>
    <w:rsid w:val="00254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reselamaclar.org/" TargetMode="External"/><Relationship Id="rId5" Type="http://schemas.openxmlformats.org/officeDocument/2006/relationships/hyperlink" Target="https://mufredat.meb.gov.tr/Dosyalar/201812312311937-FEN%20B%C4%B0L%C4%B0MLER%C4%B0%20%C3%96%C4%9ERET%C4%B0M%20PROGRAMI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1021</Words>
  <Characters>5820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752247et3</cp:lastModifiedBy>
  <cp:revision>24</cp:revision>
  <dcterms:created xsi:type="dcterms:W3CDTF">2021-11-29T20:22:00Z</dcterms:created>
  <dcterms:modified xsi:type="dcterms:W3CDTF">2022-01-04T07:32:00Z</dcterms:modified>
</cp:coreProperties>
</file>